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26FD" w14:textId="0656D77B" w:rsidR="004D1202" w:rsidRPr="004D1202" w:rsidRDefault="004D1202" w:rsidP="004D1202">
      <w:pPr>
        <w:pStyle w:val="CVAAheading"/>
      </w:pPr>
      <w:r w:rsidRPr="004D1202">
        <w:t xml:space="preserve">Social Value of Adoption – </w:t>
      </w:r>
      <w:r w:rsidR="00E145CC">
        <w:t>data</w:t>
      </w:r>
      <w:r w:rsidRPr="004D1202">
        <w:t xml:space="preserve"> crib sheet </w:t>
      </w:r>
    </w:p>
    <w:p w14:paraId="7C0979EB" w14:textId="51EB279D" w:rsidR="004D1202" w:rsidRDefault="004D1202" w:rsidP="000614A5">
      <w:pPr>
        <w:pStyle w:val="CVAAsubhead"/>
      </w:pPr>
      <w:r w:rsidRPr="004D1202">
        <w:t xml:space="preserve">Key </w:t>
      </w:r>
      <w:r w:rsidR="007A56FE">
        <w:t>findings from the report</w:t>
      </w:r>
    </w:p>
    <w:p w14:paraId="51401EB0" w14:textId="4A7CDE6D" w:rsidR="002F448D" w:rsidRDefault="00C9030C" w:rsidP="002F448D">
      <w:pPr>
        <w:pStyle w:val="CVAAnorm"/>
        <w:numPr>
          <w:ilvl w:val="0"/>
          <w:numId w:val="1"/>
        </w:numPr>
      </w:pPr>
      <w:r w:rsidRPr="00331644">
        <w:rPr>
          <w:b/>
          <w:bCs/>
        </w:rPr>
        <w:t>For a child in England, Scotland or Wales</w:t>
      </w:r>
      <w:r w:rsidR="002F448D" w:rsidRPr="00331644">
        <w:rPr>
          <w:b/>
          <w:bCs/>
        </w:rPr>
        <w:t>, adoption yields at least £1.3</w:t>
      </w:r>
      <w:r w:rsidR="00D053D9" w:rsidRPr="00331644">
        <w:rPr>
          <w:b/>
          <w:bCs/>
        </w:rPr>
        <w:t xml:space="preserve"> </w:t>
      </w:r>
      <w:r w:rsidR="00FD3FDC" w:rsidRPr="00331644">
        <w:rPr>
          <w:b/>
          <w:bCs/>
        </w:rPr>
        <w:t>million</w:t>
      </w:r>
      <w:r w:rsidR="002F448D" w:rsidRPr="00331644">
        <w:rPr>
          <w:b/>
          <w:bCs/>
        </w:rPr>
        <w:t xml:space="preserve"> in net benefits to a child or young person, their </w:t>
      </w:r>
      <w:proofErr w:type="gramStart"/>
      <w:r w:rsidR="002F448D" w:rsidRPr="00331644">
        <w:rPr>
          <w:b/>
          <w:bCs/>
        </w:rPr>
        <w:t>families</w:t>
      </w:r>
      <w:proofErr w:type="gramEnd"/>
      <w:r w:rsidR="002F448D" w:rsidRPr="00331644">
        <w:rPr>
          <w:b/>
          <w:bCs/>
        </w:rPr>
        <w:t xml:space="preserve"> and other key stakeholders in society</w:t>
      </w:r>
      <w:r w:rsidR="002F448D">
        <w:t>.</w:t>
      </w:r>
    </w:p>
    <w:p w14:paraId="07713ACD" w14:textId="792E60A5" w:rsidR="002F448D" w:rsidRPr="00331644" w:rsidRDefault="002F448D" w:rsidP="002F448D">
      <w:pPr>
        <w:pStyle w:val="CVAAnorm"/>
        <w:numPr>
          <w:ilvl w:val="0"/>
          <w:numId w:val="1"/>
        </w:numPr>
        <w:rPr>
          <w:b/>
          <w:bCs/>
        </w:rPr>
      </w:pPr>
      <w:r w:rsidRPr="00331644">
        <w:rPr>
          <w:b/>
          <w:bCs/>
        </w:rPr>
        <w:t xml:space="preserve">Extrapolating this value to the total number of children adopted in 2021 yields a total value to society of at least £4.2 </w:t>
      </w:r>
      <w:r w:rsidR="00D053D9" w:rsidRPr="00331644">
        <w:rPr>
          <w:b/>
          <w:bCs/>
        </w:rPr>
        <w:t>billion</w:t>
      </w:r>
      <w:r w:rsidR="00AA6658" w:rsidRPr="00331644">
        <w:rPr>
          <w:b/>
          <w:bCs/>
        </w:rPr>
        <w:t>.</w:t>
      </w:r>
    </w:p>
    <w:p w14:paraId="422B61FC" w14:textId="5444C7D2" w:rsidR="007B2A58" w:rsidRDefault="00DB5BB1" w:rsidP="007B2A58">
      <w:pPr>
        <w:pStyle w:val="CVAAnorm"/>
        <w:numPr>
          <w:ilvl w:val="1"/>
          <w:numId w:val="1"/>
        </w:numPr>
      </w:pPr>
      <w:r>
        <w:t xml:space="preserve">The value </w:t>
      </w:r>
      <w:r w:rsidR="00E3749B">
        <w:t>to</w:t>
      </w:r>
      <w:r>
        <w:t xml:space="preserve"> LAs </w:t>
      </w:r>
      <w:r w:rsidR="00E3749B">
        <w:t>was</w:t>
      </w:r>
      <w:r>
        <w:t xml:space="preserve"> </w:t>
      </w:r>
      <w:r w:rsidRPr="00E3749B">
        <w:rPr>
          <w:b/>
          <w:bCs/>
        </w:rPr>
        <w:t>at least £3.6 billion</w:t>
      </w:r>
      <w:r>
        <w:t xml:space="preserve"> </w:t>
      </w:r>
      <w:r w:rsidR="00E3749B">
        <w:t>in 2021</w:t>
      </w:r>
      <w:r>
        <w:t xml:space="preserve"> </w:t>
      </w:r>
      <w:r w:rsidR="00E3749B">
        <w:t>–</w:t>
      </w:r>
      <w:r w:rsidR="00FD3FDC">
        <w:t xml:space="preserve"> </w:t>
      </w:r>
      <w:r>
        <w:t>an average of £1.1m per child.</w:t>
      </w:r>
    </w:p>
    <w:p w14:paraId="7492DD6F" w14:textId="6D583DFB" w:rsidR="00E3749B" w:rsidRDefault="00E3749B" w:rsidP="007B2A58">
      <w:pPr>
        <w:pStyle w:val="CVAAnorm"/>
        <w:numPr>
          <w:ilvl w:val="1"/>
          <w:numId w:val="1"/>
        </w:numPr>
      </w:pPr>
      <w:r>
        <w:t xml:space="preserve">The value to </w:t>
      </w:r>
      <w:r w:rsidR="00FD3FDC">
        <w:t xml:space="preserve">the economy was </w:t>
      </w:r>
      <w:r w:rsidR="00FD3FDC" w:rsidRPr="00FD3FDC">
        <w:rPr>
          <w:b/>
          <w:bCs/>
        </w:rPr>
        <w:t>at least £541.4m</w:t>
      </w:r>
      <w:r w:rsidR="00FD3FDC">
        <w:t xml:space="preserve"> - an average of £161.2k per child. </w:t>
      </w:r>
    </w:p>
    <w:p w14:paraId="01573EB7" w14:textId="757D8021" w:rsidR="00FD3FDC" w:rsidRDefault="00316AB6" w:rsidP="007B2A58">
      <w:pPr>
        <w:pStyle w:val="CVAAnorm"/>
        <w:numPr>
          <w:ilvl w:val="1"/>
          <w:numId w:val="1"/>
        </w:numPr>
      </w:pPr>
      <w:r>
        <w:t xml:space="preserve">The value to the NHS was </w:t>
      </w:r>
      <w:r w:rsidRPr="00E77F62">
        <w:rPr>
          <w:b/>
          <w:bCs/>
        </w:rPr>
        <w:t>at least £34.2m</w:t>
      </w:r>
    </w:p>
    <w:p w14:paraId="02F5E350" w14:textId="288EA0E3" w:rsidR="00316AB6" w:rsidRDefault="00316AB6" w:rsidP="007B2A58">
      <w:pPr>
        <w:pStyle w:val="CVAAnorm"/>
        <w:numPr>
          <w:ilvl w:val="1"/>
          <w:numId w:val="1"/>
        </w:numPr>
      </w:pPr>
      <w:r>
        <w:t xml:space="preserve">The value to police and justice was </w:t>
      </w:r>
      <w:r w:rsidRPr="00E77F62">
        <w:rPr>
          <w:b/>
          <w:bCs/>
        </w:rPr>
        <w:t xml:space="preserve">at least </w:t>
      </w:r>
      <w:r w:rsidR="009054CC" w:rsidRPr="00E77F62">
        <w:rPr>
          <w:b/>
          <w:bCs/>
        </w:rPr>
        <w:t>£7,231</w:t>
      </w:r>
    </w:p>
    <w:p w14:paraId="0E394769" w14:textId="7D47D829" w:rsidR="009054CC" w:rsidRDefault="009054CC" w:rsidP="007B2A58">
      <w:pPr>
        <w:pStyle w:val="CVAAnorm"/>
        <w:numPr>
          <w:ilvl w:val="1"/>
          <w:numId w:val="1"/>
        </w:numPr>
      </w:pPr>
      <w:r>
        <w:t xml:space="preserve">The value to education was </w:t>
      </w:r>
      <w:r w:rsidRPr="00E77F62">
        <w:rPr>
          <w:b/>
          <w:bCs/>
        </w:rPr>
        <w:t>at least £1,805.</w:t>
      </w:r>
    </w:p>
    <w:p w14:paraId="62F9DBB9" w14:textId="49464A43" w:rsidR="00002D84" w:rsidRDefault="00002D84" w:rsidP="000614A5">
      <w:pPr>
        <w:pStyle w:val="CVAAsubhead"/>
      </w:pPr>
      <w:r>
        <w:t>Key adoption figures</w:t>
      </w:r>
    </w:p>
    <w:p w14:paraId="6F99FCC5" w14:textId="30EC19D6" w:rsidR="00913689" w:rsidRPr="00DB4835" w:rsidRDefault="00913689" w:rsidP="00DB4835">
      <w:pPr>
        <w:pStyle w:val="CVAAnorm"/>
        <w:rPr>
          <w:i/>
          <w:iCs/>
        </w:rPr>
      </w:pPr>
      <w:r w:rsidRPr="00DB4835">
        <w:rPr>
          <w:i/>
          <w:iCs/>
        </w:rPr>
        <w:t xml:space="preserve">Note: Statistics mainly relate to England </w:t>
      </w:r>
      <w:r w:rsidR="00B006A2" w:rsidRPr="00DB4835">
        <w:rPr>
          <w:i/>
          <w:iCs/>
        </w:rPr>
        <w:t>which has the most robust data set</w:t>
      </w:r>
      <w:r w:rsidR="00DB4835" w:rsidRPr="00DB4835">
        <w:rPr>
          <w:i/>
          <w:iCs/>
        </w:rPr>
        <w:t xml:space="preserve">. </w:t>
      </w:r>
      <w:r w:rsidR="0048418A">
        <w:rPr>
          <w:i/>
          <w:iCs/>
        </w:rPr>
        <w:t>The majority are sourced from</w:t>
      </w:r>
      <w:r w:rsidR="0048418A" w:rsidRPr="00F60CD2">
        <w:rPr>
          <w:i/>
          <w:iCs/>
        </w:rPr>
        <w:t>: Department for Education (17</w:t>
      </w:r>
      <w:r w:rsidR="0048418A" w:rsidRPr="00F60CD2">
        <w:rPr>
          <w:i/>
          <w:iCs/>
          <w:vertAlign w:val="superscript"/>
        </w:rPr>
        <w:t>th</w:t>
      </w:r>
      <w:r w:rsidR="0048418A" w:rsidRPr="00F60CD2">
        <w:rPr>
          <w:i/>
          <w:iCs/>
        </w:rPr>
        <w:t xml:space="preserve"> November 2022) Children looked after in England including adoptions. Statistics relate to the year ending 31 March 2022. Available </w:t>
      </w:r>
      <w:hyperlink r:id="rId10" w:history="1">
        <w:r w:rsidR="0048418A" w:rsidRPr="00F60CD2">
          <w:rPr>
            <w:rStyle w:val="Hyperlink"/>
            <w:i/>
            <w:iCs/>
          </w:rPr>
          <w:t>here</w:t>
        </w:r>
      </w:hyperlink>
      <w:r w:rsidR="0048418A" w:rsidRPr="00F60CD2">
        <w:rPr>
          <w:i/>
          <w:iCs/>
        </w:rPr>
        <w:t xml:space="preserve">. </w:t>
      </w:r>
      <w:r w:rsidR="0048418A">
        <w:rPr>
          <w:i/>
          <w:iCs/>
        </w:rPr>
        <w:t xml:space="preserve">Otherwise the source is stated. </w:t>
      </w:r>
    </w:p>
    <w:p w14:paraId="63DE4396" w14:textId="2A8DE8BD" w:rsidR="00477B2A" w:rsidRDefault="00477B2A" w:rsidP="00A6766B">
      <w:pPr>
        <w:pStyle w:val="CVAAnorm"/>
        <w:numPr>
          <w:ilvl w:val="0"/>
          <w:numId w:val="3"/>
        </w:numPr>
      </w:pPr>
      <w:r w:rsidRPr="00331644">
        <w:rPr>
          <w:b/>
          <w:bCs/>
        </w:rPr>
        <w:t>The number of children adopted peaked in England in 2015 at 5,360, and has since fallen to 2,950 in 2022</w:t>
      </w:r>
      <w:r w:rsidR="00F60CD2">
        <w:t xml:space="preserve">. </w:t>
      </w:r>
      <w:r w:rsidR="000B19B2">
        <w:t>The same trend</w:t>
      </w:r>
      <w:r w:rsidR="008311AD">
        <w:t xml:space="preserve"> has been seen in Wales (the latest stats</w:t>
      </w:r>
      <w:r w:rsidR="0007581E">
        <w:t xml:space="preserve"> are </w:t>
      </w:r>
      <w:hyperlink r:id="rId11" w:anchor=":~:text=The%20number%20of%20children%20looked%20after%20has%20been,slightly%20lower%20than%20the%20rate%20in%202021%20%28115.1%29." w:history="1">
        <w:r w:rsidR="0007581E" w:rsidRPr="0007581E">
          <w:rPr>
            <w:rStyle w:val="Hyperlink"/>
          </w:rPr>
          <w:t>here</w:t>
        </w:r>
      </w:hyperlink>
      <w:r w:rsidR="008311AD">
        <w:t>).</w:t>
      </w:r>
    </w:p>
    <w:p w14:paraId="6EE5375F" w14:textId="33559B8B" w:rsidR="000B19B2" w:rsidRDefault="008311AD" w:rsidP="000B19B2">
      <w:pPr>
        <w:pStyle w:val="CVAAnorm"/>
        <w:numPr>
          <w:ilvl w:val="1"/>
          <w:numId w:val="3"/>
        </w:numPr>
      </w:pPr>
      <w:r>
        <w:t xml:space="preserve">In the space of a year (Q1 2022/23 compared to </w:t>
      </w:r>
      <w:r w:rsidR="003F2721">
        <w:t>Q1 2021/22), ADMs have decreased by 5%, POs by 13%, and AOs by 23%</w:t>
      </w:r>
      <w:r w:rsidR="00F60CD2">
        <w:t xml:space="preserve"> (</w:t>
      </w:r>
      <w:r w:rsidR="00F60CD2" w:rsidRPr="00774654">
        <w:t>Source</w:t>
      </w:r>
      <w:r w:rsidR="00774654" w:rsidRPr="00774654">
        <w:t>:</w:t>
      </w:r>
      <w:r w:rsidR="00F60CD2" w:rsidRPr="0048418A">
        <w:rPr>
          <w:i/>
          <w:iCs/>
        </w:rPr>
        <w:t xml:space="preserve"> </w:t>
      </w:r>
      <w:hyperlink r:id="rId12" w:history="1">
        <w:r w:rsidR="00F60CD2" w:rsidRPr="0048418A">
          <w:rPr>
            <w:rStyle w:val="Hyperlink"/>
            <w:i/>
            <w:iCs/>
          </w:rPr>
          <w:t>ASGLB</w:t>
        </w:r>
        <w:r w:rsidR="009A1331" w:rsidRPr="0048418A">
          <w:rPr>
            <w:rStyle w:val="Hyperlink"/>
            <w:i/>
            <w:iCs/>
          </w:rPr>
          <w:t>, Q1 2022/23</w:t>
        </w:r>
      </w:hyperlink>
      <w:r w:rsidR="009A1331">
        <w:t>)</w:t>
      </w:r>
    </w:p>
    <w:p w14:paraId="58664572" w14:textId="1FCF5F07" w:rsidR="00AD13AF" w:rsidRDefault="00AD13AF" w:rsidP="00A6766B">
      <w:pPr>
        <w:pStyle w:val="CVAAnorm"/>
        <w:numPr>
          <w:ilvl w:val="0"/>
          <w:numId w:val="3"/>
        </w:numPr>
      </w:pPr>
      <w:r w:rsidRPr="00AD13AF">
        <w:t>On average, it takes 2 years and 3 months for a child to be adopted and this time has been increasing, up from 2 years 2 months last year and up from 1 year and 11 months in 2018.</w:t>
      </w:r>
    </w:p>
    <w:p w14:paraId="7FE4BB88" w14:textId="466F58A5" w:rsidR="007B06F0" w:rsidRDefault="007B06F0" w:rsidP="00A6766B">
      <w:pPr>
        <w:pStyle w:val="CVAAnorm"/>
        <w:numPr>
          <w:ilvl w:val="0"/>
          <w:numId w:val="3"/>
        </w:numPr>
      </w:pPr>
      <w:r w:rsidRPr="007B06F0">
        <w:t>The average age of a child at adoption is 3 years and 3 months, the same as last year and the same as in 2018. </w:t>
      </w:r>
    </w:p>
    <w:p w14:paraId="75B32686" w14:textId="6EB16EFC" w:rsidR="00B05D8A" w:rsidRDefault="00002D84" w:rsidP="007C14AD">
      <w:pPr>
        <w:pStyle w:val="CVAAsubhead"/>
      </w:pPr>
      <w:r>
        <w:t xml:space="preserve">Special guardianship </w:t>
      </w:r>
      <w:r w:rsidR="007C14AD">
        <w:t>figures</w:t>
      </w:r>
    </w:p>
    <w:p w14:paraId="5E7C8BF6" w14:textId="7AB4EEAA" w:rsidR="00A632F4" w:rsidRDefault="00853A73" w:rsidP="00A632F4">
      <w:pPr>
        <w:pStyle w:val="CVAAnorm"/>
        <w:numPr>
          <w:ilvl w:val="0"/>
          <w:numId w:val="4"/>
        </w:numPr>
      </w:pPr>
      <w:r>
        <w:t>T</w:t>
      </w:r>
      <w:r w:rsidR="007066E3">
        <w:t>he number of children</w:t>
      </w:r>
      <w:r w:rsidR="001B29B8">
        <w:t xml:space="preserve"> cared for under</w:t>
      </w:r>
      <w:r w:rsidR="007066E3">
        <w:t xml:space="preserve"> SGOs in England has increased from 1,260</w:t>
      </w:r>
      <w:r w:rsidR="00FF1670">
        <w:t xml:space="preserve"> in 2010</w:t>
      </w:r>
      <w:r w:rsidR="00F243FE">
        <w:t xml:space="preserve"> to </w:t>
      </w:r>
      <w:r w:rsidR="00F243FE" w:rsidRPr="00F243FE">
        <w:t>3,870</w:t>
      </w:r>
      <w:r>
        <w:t xml:space="preserve"> in 2022.</w:t>
      </w:r>
      <w:r w:rsidR="00200D29">
        <w:t xml:space="preserve"> </w:t>
      </w:r>
      <w:r w:rsidR="007A455A">
        <w:t xml:space="preserve">(The same trends can be seen in Scottish </w:t>
      </w:r>
      <w:hyperlink r:id="rId13" w:history="1">
        <w:r w:rsidR="007A455A" w:rsidRPr="007A455A">
          <w:rPr>
            <w:rStyle w:val="Hyperlink"/>
          </w:rPr>
          <w:t>data</w:t>
        </w:r>
      </w:hyperlink>
      <w:r w:rsidR="007A455A">
        <w:t>)</w:t>
      </w:r>
      <w:r w:rsidR="001B29B8">
        <w:t>.</w:t>
      </w:r>
      <w:r w:rsidR="00200D29">
        <w:t xml:space="preserve"> </w:t>
      </w:r>
      <w:r w:rsidR="006E74A4">
        <w:t>In 2022, t</w:t>
      </w:r>
      <w:r w:rsidR="006E74A4" w:rsidRPr="00A632F4">
        <w:t xml:space="preserve">he number of </w:t>
      </w:r>
      <w:r w:rsidR="006E74A4">
        <w:t>children</w:t>
      </w:r>
      <w:r w:rsidR="006E74A4" w:rsidRPr="00A632F4">
        <w:t xml:space="preserve"> </w:t>
      </w:r>
      <w:r w:rsidR="006E74A4">
        <w:t xml:space="preserve">who left care </w:t>
      </w:r>
      <w:r w:rsidR="006E74A4" w:rsidRPr="00A632F4">
        <w:t>under an SGO increased by 1%</w:t>
      </w:r>
      <w:r w:rsidR="00B26BE8">
        <w:t xml:space="preserve">. </w:t>
      </w:r>
    </w:p>
    <w:p w14:paraId="06623E9C" w14:textId="0AA86396" w:rsidR="00156D44" w:rsidRDefault="00B26BE8" w:rsidP="00B26BE8">
      <w:pPr>
        <w:pStyle w:val="CVAAnorm"/>
        <w:numPr>
          <w:ilvl w:val="0"/>
          <w:numId w:val="4"/>
        </w:numPr>
      </w:pPr>
      <w:r>
        <w:t>In 2022, t</w:t>
      </w:r>
      <w:r w:rsidR="00156D44" w:rsidRPr="00156D44">
        <w:t>he average age at SGO increased by 3 months to 6 years and 4 months.</w:t>
      </w:r>
      <w:r>
        <w:t xml:space="preserve"> </w:t>
      </w:r>
      <w:r w:rsidRPr="00A632F4">
        <w:t>Most SGOs were granted to relatives or friends – 87% - the remainder were largely to other former foster carers – 11%. </w:t>
      </w:r>
    </w:p>
    <w:p w14:paraId="60A46E58" w14:textId="09430F17" w:rsidR="005A179F" w:rsidRDefault="005A179F" w:rsidP="004D1202">
      <w:pPr>
        <w:pStyle w:val="CVAAnorm"/>
        <w:numPr>
          <w:ilvl w:val="0"/>
          <w:numId w:val="4"/>
        </w:numPr>
      </w:pPr>
      <w:r>
        <w:t xml:space="preserve">For the last four years there have been more SGOs granted than AOs granted, with SGOs accounting for 58% of permanence orders (Source: </w:t>
      </w:r>
      <w:hyperlink r:id="rId14" w:history="1">
        <w:r w:rsidRPr="00774654">
          <w:rPr>
            <w:rStyle w:val="Hyperlink"/>
            <w:i/>
            <w:iCs/>
          </w:rPr>
          <w:t>ASGLB, Q4</w:t>
        </w:r>
        <w:r w:rsidR="003E7F1D" w:rsidRPr="00774654">
          <w:rPr>
            <w:rStyle w:val="Hyperlink"/>
            <w:i/>
            <w:iCs/>
          </w:rPr>
          <w:t xml:space="preserve"> 2021-22</w:t>
        </w:r>
      </w:hyperlink>
      <w:r w:rsidR="003E7F1D">
        <w:t>)</w:t>
      </w:r>
    </w:p>
    <w:p w14:paraId="0849E2C6" w14:textId="5607644A" w:rsidR="008923C9" w:rsidRDefault="008923C9" w:rsidP="008923C9">
      <w:pPr>
        <w:pStyle w:val="CVAAnorm"/>
        <w:numPr>
          <w:ilvl w:val="0"/>
          <w:numId w:val="4"/>
        </w:numPr>
      </w:pPr>
      <w:r w:rsidRPr="00331644">
        <w:rPr>
          <w:b/>
          <w:bCs/>
        </w:rPr>
        <w:lastRenderedPageBreak/>
        <w:t>Total permanence orders</w:t>
      </w:r>
      <w:r w:rsidR="00CF1E50" w:rsidRPr="00331644">
        <w:rPr>
          <w:b/>
          <w:bCs/>
        </w:rPr>
        <w:t xml:space="preserve"> </w:t>
      </w:r>
      <w:r w:rsidR="008B3FEF" w:rsidRPr="00331644">
        <w:rPr>
          <w:b/>
          <w:bCs/>
        </w:rPr>
        <w:t xml:space="preserve">have declined </w:t>
      </w:r>
      <w:r w:rsidR="00CF1E50" w:rsidRPr="00331644">
        <w:rPr>
          <w:b/>
          <w:bCs/>
        </w:rPr>
        <w:t>from 7460 in 2018/19</w:t>
      </w:r>
      <w:r w:rsidR="007446C6" w:rsidRPr="00331644">
        <w:rPr>
          <w:b/>
          <w:bCs/>
        </w:rPr>
        <w:t xml:space="preserve"> to 6970 in 2021/22</w:t>
      </w:r>
      <w:r w:rsidR="00B26BE8">
        <w:t xml:space="preserve"> (Source: </w:t>
      </w:r>
      <w:hyperlink r:id="rId15" w:history="1">
        <w:r w:rsidR="00B26BE8" w:rsidRPr="00774654">
          <w:rPr>
            <w:rStyle w:val="Hyperlink"/>
            <w:i/>
            <w:iCs/>
          </w:rPr>
          <w:t>ASGLB, Q4 2021-22</w:t>
        </w:r>
      </w:hyperlink>
      <w:r w:rsidR="00B26BE8">
        <w:t>)</w:t>
      </w:r>
    </w:p>
    <w:p w14:paraId="6FA83A41" w14:textId="06C41F97" w:rsidR="008923C9" w:rsidRPr="00156D44" w:rsidRDefault="008923C9" w:rsidP="007446C6">
      <w:pPr>
        <w:pStyle w:val="CVAAnorm"/>
        <w:jc w:val="center"/>
      </w:pPr>
      <w:r w:rsidRPr="008923C9">
        <w:rPr>
          <w:noProof/>
        </w:rPr>
        <w:drawing>
          <wp:inline distT="0" distB="0" distL="0" distR="0" wp14:anchorId="2CFC9742" wp14:editId="714389AD">
            <wp:extent cx="2789162" cy="2453853"/>
            <wp:effectExtent l="0" t="0" r="0" b="381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16"/>
                    <a:stretch>
                      <a:fillRect/>
                    </a:stretch>
                  </pic:blipFill>
                  <pic:spPr>
                    <a:xfrm>
                      <a:off x="0" y="0"/>
                      <a:ext cx="2789162" cy="2453853"/>
                    </a:xfrm>
                    <a:prstGeom prst="rect">
                      <a:avLst/>
                    </a:prstGeom>
                  </pic:spPr>
                </pic:pic>
              </a:graphicData>
            </a:graphic>
          </wp:inline>
        </w:drawing>
      </w:r>
    </w:p>
    <w:p w14:paraId="37F5F26E" w14:textId="34C58856" w:rsidR="00002D84" w:rsidRDefault="00002D84" w:rsidP="007C14AD">
      <w:pPr>
        <w:pStyle w:val="CVAAsubhead"/>
      </w:pPr>
      <w:r>
        <w:t>Children looked after figures</w:t>
      </w:r>
    </w:p>
    <w:p w14:paraId="7AB68894" w14:textId="1417A7AA" w:rsidR="007C14AD" w:rsidRPr="00331644" w:rsidRDefault="007C14AD" w:rsidP="007C14AD">
      <w:pPr>
        <w:pStyle w:val="CVAAnorm"/>
        <w:numPr>
          <w:ilvl w:val="0"/>
          <w:numId w:val="5"/>
        </w:numPr>
        <w:rPr>
          <w:b/>
          <w:bCs/>
        </w:rPr>
      </w:pPr>
      <w:r w:rsidRPr="00331644">
        <w:rPr>
          <w:b/>
          <w:bCs/>
        </w:rPr>
        <w:t xml:space="preserve">In 2022, the number of </w:t>
      </w:r>
      <w:r w:rsidR="00512DE0" w:rsidRPr="00331644">
        <w:rPr>
          <w:b/>
          <w:bCs/>
        </w:rPr>
        <w:t>children in care</w:t>
      </w:r>
      <w:r w:rsidRPr="00331644">
        <w:rPr>
          <w:b/>
          <w:bCs/>
        </w:rPr>
        <w:t xml:space="preserve"> in England rose to 82,170, up 2% on last year and continuing the rise seen in recent years. </w:t>
      </w:r>
    </w:p>
    <w:p w14:paraId="18C75A17" w14:textId="7817A32D" w:rsidR="00D873BF" w:rsidRDefault="00D873BF" w:rsidP="00D873BF">
      <w:pPr>
        <w:pStyle w:val="CVAAnorm"/>
        <w:numPr>
          <w:ilvl w:val="1"/>
          <w:numId w:val="5"/>
        </w:numPr>
      </w:pPr>
      <w:r w:rsidRPr="00B30F78">
        <w:rPr>
          <w:b/>
          <w:bCs/>
        </w:rPr>
        <w:t>A note of caution</w:t>
      </w:r>
      <w:r>
        <w:t xml:space="preserve">: </w:t>
      </w:r>
      <w:r w:rsidR="00B30F78">
        <w:t xml:space="preserve">This is being driven by </w:t>
      </w:r>
      <w:r w:rsidR="00134E66">
        <w:t>increased numbers of Unaccompanied Asylum Seeking Children (UASC)</w:t>
      </w:r>
      <w:r w:rsidR="00C15F1D">
        <w:t>, which increased by 34% in 2022 following a 20% decrease the year before.</w:t>
      </w:r>
    </w:p>
    <w:p w14:paraId="0193C92A" w14:textId="3DDBEBE2" w:rsidR="001C0DB6" w:rsidRDefault="00D5019F" w:rsidP="00905E8B">
      <w:pPr>
        <w:pStyle w:val="CVAAnorm"/>
        <w:numPr>
          <w:ilvl w:val="1"/>
          <w:numId w:val="5"/>
        </w:numPr>
      </w:pPr>
      <w:r w:rsidRPr="000109A7">
        <w:t xml:space="preserve">Also </w:t>
      </w:r>
      <w:r w:rsidR="001C0DB6" w:rsidRPr="000109A7">
        <w:t>the number of children starting to be looked after aged under 1 year was down</w:t>
      </w:r>
      <w:r w:rsidR="001C0DB6">
        <w:t xml:space="preserve"> 4% on 2021, and the number of children starting to be looked after aged 1-4yrs was down 7% from 2021. Children starting to be looked after aged 16+ years was up 38%, and between 10-15yrs was up 13%.</w:t>
      </w:r>
    </w:p>
    <w:p w14:paraId="0345BAB2" w14:textId="34B94B96" w:rsidR="00871EE3" w:rsidRDefault="00871EE3" w:rsidP="00871EE3">
      <w:pPr>
        <w:pStyle w:val="CVAAnorm"/>
        <w:numPr>
          <w:ilvl w:val="0"/>
          <w:numId w:val="5"/>
        </w:numPr>
      </w:pPr>
      <w:r w:rsidRPr="00871EE3">
        <w:t>57,540</w:t>
      </w:r>
      <w:r>
        <w:t xml:space="preserve"> children </w:t>
      </w:r>
      <w:r w:rsidR="000109A7">
        <w:t xml:space="preserve">in England were living in </w:t>
      </w:r>
      <w:r>
        <w:t>foster care placements</w:t>
      </w:r>
      <w:r w:rsidR="000109A7">
        <w:t xml:space="preserve"> in 2022</w:t>
      </w:r>
    </w:p>
    <w:p w14:paraId="0BB50F40" w14:textId="77777777" w:rsidR="006B7D66" w:rsidRDefault="00AF12C6" w:rsidP="00120DF9">
      <w:pPr>
        <w:pStyle w:val="CVAAnorm"/>
        <w:numPr>
          <w:ilvl w:val="0"/>
          <w:numId w:val="5"/>
        </w:numPr>
      </w:pPr>
      <w:r w:rsidRPr="00AF12C6">
        <w:t xml:space="preserve">Whilst the number of children in foster placements has increased each year, the overall number of children looked after has increased more quickly, so the proportion of </w:t>
      </w:r>
      <w:r w:rsidR="006B7D66">
        <w:t>children</w:t>
      </w:r>
      <w:r w:rsidRPr="00AF12C6">
        <w:t xml:space="preserve"> in foster placements has decreased to 70% this year from 73% in 2018. </w:t>
      </w:r>
    </w:p>
    <w:p w14:paraId="7C3A5B11" w14:textId="772FF90D" w:rsidR="00330E34" w:rsidRDefault="006B7D66" w:rsidP="00330E34">
      <w:pPr>
        <w:pStyle w:val="CVAAnorm"/>
        <w:numPr>
          <w:ilvl w:val="0"/>
          <w:numId w:val="5"/>
        </w:numPr>
      </w:pPr>
      <w:r>
        <w:t>T</w:t>
      </w:r>
      <w:r w:rsidR="00AF12C6" w:rsidRPr="00AF12C6">
        <w:t xml:space="preserve">he number of </w:t>
      </w:r>
      <w:r>
        <w:t>children</w:t>
      </w:r>
      <w:r w:rsidR="00AF12C6" w:rsidRPr="00AF12C6">
        <w:t xml:space="preserve"> in foster placements with a relative or friend has increased by 29% since 2018, and now represents 15% of all </w:t>
      </w:r>
      <w:r>
        <w:t>children looked after.</w:t>
      </w:r>
    </w:p>
    <w:p w14:paraId="6CD62E9B" w14:textId="11FC6AE4" w:rsidR="00330E34" w:rsidRDefault="00330E34" w:rsidP="00330E34">
      <w:pPr>
        <w:pStyle w:val="CVAAsubsub"/>
      </w:pPr>
      <w:r>
        <w:t>Placement instability</w:t>
      </w:r>
    </w:p>
    <w:p w14:paraId="412569D9" w14:textId="39F7C446" w:rsidR="0084537D" w:rsidRDefault="00330E34" w:rsidP="00602931">
      <w:pPr>
        <w:pStyle w:val="CVAAnorm"/>
        <w:numPr>
          <w:ilvl w:val="0"/>
          <w:numId w:val="5"/>
        </w:numPr>
      </w:pPr>
      <w:r>
        <w:t xml:space="preserve">Most foster placements in England last between 6 months and one year (18%), and only 4% last over 5 years (source: </w:t>
      </w:r>
      <w:hyperlink r:id="rId17" w:history="1">
        <w:r w:rsidR="00075836" w:rsidRPr="00A537A7">
          <w:rPr>
            <w:rStyle w:val="Hyperlink"/>
            <w:i/>
            <w:iCs/>
          </w:rPr>
          <w:t>DfE, 2022</w:t>
        </w:r>
      </w:hyperlink>
      <w:r w:rsidR="00075836">
        <w:t>)</w:t>
      </w:r>
    </w:p>
    <w:p w14:paraId="1C9C5D8A" w14:textId="3068D7A4" w:rsidR="008E1F0E" w:rsidRDefault="0084537D" w:rsidP="00602931">
      <w:pPr>
        <w:pStyle w:val="CVAAsubhead"/>
      </w:pPr>
      <w:r>
        <w:t xml:space="preserve">Maintaining children’s lifelong relationships </w:t>
      </w:r>
    </w:p>
    <w:p w14:paraId="6777EB20" w14:textId="54C66FEB" w:rsidR="00D672D0" w:rsidRDefault="00E6275C" w:rsidP="00331644">
      <w:pPr>
        <w:pStyle w:val="CVAAnorm"/>
        <w:numPr>
          <w:ilvl w:val="0"/>
          <w:numId w:val="5"/>
        </w:numPr>
      </w:pPr>
      <w:r>
        <w:t xml:space="preserve">Most adopted children </w:t>
      </w:r>
      <w:r w:rsidR="00995068">
        <w:t xml:space="preserve">have plans for contact with their birth family members, although this is usually indirect ‘letterbox’ contact. </w:t>
      </w:r>
      <w:r w:rsidR="00CE7BF7" w:rsidRPr="00C607AC">
        <w:t xml:space="preserve">Adoption UK’s </w:t>
      </w:r>
      <w:r w:rsidR="00CE7BF7">
        <w:t xml:space="preserve">2022 </w:t>
      </w:r>
      <w:r w:rsidR="00CE7BF7" w:rsidRPr="00C607AC">
        <w:t>Adoption Barometer</w:t>
      </w:r>
      <w:r w:rsidR="00CE7BF7">
        <w:t xml:space="preserve"> found that 82</w:t>
      </w:r>
      <w:r w:rsidR="00CE7BF7" w:rsidRPr="00C607AC">
        <w:t xml:space="preserve">% </w:t>
      </w:r>
      <w:r w:rsidR="00CE7BF7">
        <w:t xml:space="preserve">of adoptive parents surveyed had formal agreements in place for indirect contact with </w:t>
      </w:r>
      <w:r w:rsidR="00CE7BF7">
        <w:lastRenderedPageBreak/>
        <w:t>their child</w:t>
      </w:r>
      <w:r w:rsidR="00F2199C">
        <w:t>/</w:t>
      </w:r>
      <w:r w:rsidR="00CE7BF7">
        <w:t>children’s birth family members. This was more common in England and Wales than in Scotland</w:t>
      </w:r>
      <w:r w:rsidR="00B57B34">
        <w:t xml:space="preserve"> (</w:t>
      </w:r>
      <w:r w:rsidR="00B57B34" w:rsidRPr="00331644">
        <w:rPr>
          <w:i/>
          <w:iCs/>
        </w:rPr>
        <w:t>Source</w:t>
      </w:r>
      <w:r w:rsidR="00331644" w:rsidRPr="00331644">
        <w:rPr>
          <w:i/>
          <w:iCs/>
        </w:rPr>
        <w:t xml:space="preserve">: </w:t>
      </w:r>
      <w:hyperlink r:id="rId18" w:history="1">
        <w:r w:rsidR="00B57B34" w:rsidRPr="00331644">
          <w:rPr>
            <w:rStyle w:val="Hyperlink"/>
            <w:i/>
            <w:iCs/>
          </w:rPr>
          <w:t>AUK Adoption Barometer 2022</w:t>
        </w:r>
      </w:hyperlink>
      <w:r w:rsidR="00B57B34">
        <w:t>)</w:t>
      </w:r>
    </w:p>
    <w:p w14:paraId="3C91BF21" w14:textId="74C605EA" w:rsidR="00E14E3B" w:rsidRDefault="005D74A2" w:rsidP="00E14E3B">
      <w:pPr>
        <w:pStyle w:val="ListParagraph"/>
        <w:numPr>
          <w:ilvl w:val="0"/>
          <w:numId w:val="5"/>
        </w:numPr>
        <w:spacing w:after="0"/>
        <w:ind w:left="714" w:hanging="357"/>
        <w:contextualSpacing w:val="0"/>
        <w:rPr>
          <w:rFonts w:asciiTheme="minorHAnsi" w:hAnsiTheme="minorHAnsi"/>
        </w:rPr>
      </w:pPr>
      <w:r w:rsidRPr="005D74A2">
        <w:rPr>
          <w:rFonts w:asciiTheme="minorHAnsi" w:hAnsiTheme="minorHAnsi"/>
        </w:rPr>
        <w:t xml:space="preserve">It is encouraging that </w:t>
      </w:r>
      <w:r w:rsidRPr="005D74A2">
        <w:rPr>
          <w:rFonts w:asciiTheme="minorHAnsi" w:hAnsiTheme="minorHAnsi"/>
          <w:b/>
          <w:bCs/>
        </w:rPr>
        <w:t>t</w:t>
      </w:r>
      <w:r w:rsidR="00D06115" w:rsidRPr="005D74A2">
        <w:rPr>
          <w:rFonts w:asciiTheme="minorHAnsi" w:hAnsiTheme="minorHAnsi"/>
          <w:b/>
          <w:bCs/>
        </w:rPr>
        <w:t>he 2022 Adoption Barometer shows a considerable increase in direct contact on previous years, with almost a third of adopters participating in direct contact</w:t>
      </w:r>
      <w:r w:rsidR="00D06115" w:rsidRPr="005D74A2">
        <w:rPr>
          <w:rFonts w:asciiTheme="minorHAnsi" w:hAnsiTheme="minorHAnsi"/>
        </w:rPr>
        <w:t xml:space="preserve">; 26% with brothers and sisters, 6% with birth mothers, 2% with birth fathers and 3% with wider family members. </w:t>
      </w:r>
      <w:r w:rsidR="00A537A7">
        <w:rPr>
          <w:rFonts w:asciiTheme="minorHAnsi" w:hAnsiTheme="minorHAnsi"/>
        </w:rPr>
        <w:t>(</w:t>
      </w:r>
      <w:r w:rsidR="00A537A7" w:rsidRPr="00A537A7">
        <w:rPr>
          <w:rFonts w:asciiTheme="minorHAnsi" w:hAnsiTheme="minorHAnsi"/>
          <w:i/>
          <w:iCs/>
        </w:rPr>
        <w:t>Source: as above</w:t>
      </w:r>
      <w:r w:rsidR="00A537A7">
        <w:rPr>
          <w:rFonts w:asciiTheme="minorHAnsi" w:hAnsiTheme="minorHAnsi"/>
        </w:rPr>
        <w:t>)</w:t>
      </w:r>
    </w:p>
    <w:p w14:paraId="3D37AD3B" w14:textId="77777777" w:rsidR="00E14E3B" w:rsidRDefault="00E14E3B" w:rsidP="00E14E3B">
      <w:pPr>
        <w:spacing w:after="0"/>
        <w:rPr>
          <w:rFonts w:asciiTheme="minorHAnsi" w:hAnsiTheme="minorHAnsi"/>
        </w:rPr>
      </w:pPr>
    </w:p>
    <w:p w14:paraId="1DF8A3C5" w14:textId="137705FB" w:rsidR="005D74A2" w:rsidRPr="00E14E3B" w:rsidRDefault="00E14E3B" w:rsidP="00E14E3B">
      <w:pPr>
        <w:pStyle w:val="ListParagraph"/>
        <w:numPr>
          <w:ilvl w:val="0"/>
          <w:numId w:val="5"/>
        </w:numPr>
        <w:spacing w:after="0"/>
        <w:rPr>
          <w:rFonts w:asciiTheme="minorHAnsi" w:hAnsiTheme="minorHAnsi"/>
        </w:rPr>
      </w:pPr>
      <w:r w:rsidRPr="00E14E3B">
        <w:rPr>
          <w:rFonts w:asciiTheme="minorHAnsi" w:hAnsiTheme="minorHAnsi"/>
        </w:rPr>
        <w:t>A</w:t>
      </w:r>
      <w:r w:rsidR="00DD115F" w:rsidRPr="00E14E3B">
        <w:rPr>
          <w:rFonts w:asciiTheme="minorHAnsi" w:hAnsiTheme="minorHAnsi"/>
        </w:rPr>
        <w:t xml:space="preserve"> </w:t>
      </w:r>
      <w:r>
        <w:rPr>
          <w:rFonts w:asciiTheme="minorHAnsi" w:hAnsiTheme="minorHAnsi"/>
        </w:rPr>
        <w:t xml:space="preserve">CVAA survey undertaken </w:t>
      </w:r>
      <w:r w:rsidRPr="00E14E3B">
        <w:rPr>
          <w:rFonts w:asciiTheme="minorHAnsi" w:hAnsiTheme="minorHAnsi"/>
        </w:rPr>
        <w:t xml:space="preserve">in summer 2022 found that </w:t>
      </w:r>
      <w:r w:rsidRPr="00E14E3B">
        <w:rPr>
          <w:rFonts w:asciiTheme="minorHAnsi" w:hAnsiTheme="minorHAnsi"/>
          <w:b/>
          <w:bCs/>
        </w:rPr>
        <w:t>all VAAs are explicitly preparing adopters to maintain relationships with children’s birth families</w:t>
      </w:r>
      <w:r w:rsidRPr="00E14E3B">
        <w:rPr>
          <w:rFonts w:asciiTheme="minorHAnsi" w:hAnsiTheme="minorHAnsi"/>
        </w:rPr>
        <w:t xml:space="preserve">, and increasingly for direct contact. </w:t>
      </w:r>
    </w:p>
    <w:p w14:paraId="685C1696" w14:textId="77777777" w:rsidR="00E14E3B" w:rsidRPr="005D74A2" w:rsidRDefault="00E14E3B" w:rsidP="00E14E3B">
      <w:pPr>
        <w:pStyle w:val="ListParagraph"/>
        <w:spacing w:after="0"/>
        <w:ind w:left="714"/>
        <w:contextualSpacing w:val="0"/>
        <w:rPr>
          <w:rFonts w:asciiTheme="minorHAnsi" w:hAnsiTheme="minorHAnsi"/>
        </w:rPr>
      </w:pPr>
    </w:p>
    <w:p w14:paraId="41A6683D" w14:textId="6F13D518" w:rsidR="00AB68CC" w:rsidRDefault="00AB68CC" w:rsidP="00F17EC4">
      <w:pPr>
        <w:pStyle w:val="CVAAsubsub"/>
      </w:pPr>
      <w:r>
        <w:t>Contact for children in SGOs</w:t>
      </w:r>
    </w:p>
    <w:p w14:paraId="30A4B456" w14:textId="77777777" w:rsidR="00921D79" w:rsidRDefault="00921D79" w:rsidP="00F17EC4">
      <w:pPr>
        <w:pStyle w:val="CVAAnorm"/>
        <w:numPr>
          <w:ilvl w:val="0"/>
          <w:numId w:val="5"/>
        </w:numPr>
      </w:pPr>
      <w:r w:rsidRPr="00921D79">
        <w:t xml:space="preserve">The evidence base on contact for children </w:t>
      </w:r>
      <w:r>
        <w:t>under SGOs i</w:t>
      </w:r>
      <w:r w:rsidRPr="00921D79">
        <w:t xml:space="preserve">s very limited. </w:t>
      </w:r>
    </w:p>
    <w:p w14:paraId="68D847F8" w14:textId="3A92A9E8" w:rsidR="00B27BFA" w:rsidRPr="00F17EC4" w:rsidRDefault="00F17EC4" w:rsidP="00F17EC4">
      <w:pPr>
        <w:pStyle w:val="CVAAnorm"/>
        <w:numPr>
          <w:ilvl w:val="0"/>
          <w:numId w:val="5"/>
        </w:numPr>
      </w:pPr>
      <w:r w:rsidRPr="00F17EC4">
        <w:t xml:space="preserve">We </w:t>
      </w:r>
      <w:r w:rsidR="00E14E3B">
        <w:t>k</w:t>
      </w:r>
      <w:r w:rsidRPr="00F17EC4">
        <w:t xml:space="preserve">now that </w:t>
      </w:r>
      <w:r>
        <w:t>c</w:t>
      </w:r>
      <w:r w:rsidR="00C86463">
        <w:t xml:space="preserve">ontact </w:t>
      </w:r>
      <w:r>
        <w:t>can be</w:t>
      </w:r>
      <w:r w:rsidR="00C86463">
        <w:t xml:space="preserve"> a source of strain within SGOs </w:t>
      </w:r>
      <w:r w:rsidR="00E808AE">
        <w:t>– e.g. research from Simmonds et al. (</w:t>
      </w:r>
      <w:r w:rsidR="00E808AE" w:rsidRPr="005E1F69">
        <w:t>2019</w:t>
      </w:r>
      <w:r w:rsidR="009536CA">
        <w:t>) f</w:t>
      </w:r>
      <w:r w:rsidR="00E808AE">
        <w:t>ound that contact</w:t>
      </w:r>
      <w:r w:rsidR="001E1CEF" w:rsidRPr="001E1CEF">
        <w:t xml:space="preserve"> arrangements can be complex and conflictual, and may require involvement from </w:t>
      </w:r>
      <w:r w:rsidR="00E808AE">
        <w:t>LAs</w:t>
      </w:r>
      <w:r w:rsidR="001E1CEF" w:rsidRPr="001E1CEF">
        <w:t xml:space="preserve"> to supervise and facilitate them.  Despite this, only 11% of carers were found to be receiving this support and a further 23% wanted support but did not receive it (Mcgrath &amp; Ashley, 2021).</w:t>
      </w:r>
      <w:r w:rsidR="0026389D">
        <w:t xml:space="preserve"> </w:t>
      </w:r>
      <w:r w:rsidR="005E1F69">
        <w:t>(</w:t>
      </w:r>
      <w:r w:rsidR="005E1F69" w:rsidRPr="005E1F69">
        <w:rPr>
          <w:i/>
          <w:iCs/>
        </w:rPr>
        <w:t xml:space="preserve">Source: </w:t>
      </w:r>
      <w:hyperlink r:id="rId19" w:history="1">
        <w:r w:rsidR="005E1F69" w:rsidRPr="005E1F69">
          <w:rPr>
            <w:rStyle w:val="Hyperlink"/>
            <w:i/>
            <w:iCs/>
          </w:rPr>
          <w:t>Simmonds et al., 2019</w:t>
        </w:r>
      </w:hyperlink>
      <w:r w:rsidR="005E1F69">
        <w:t>)</w:t>
      </w:r>
    </w:p>
    <w:p w14:paraId="081ADFD4" w14:textId="522009D7" w:rsidR="00FC0EF9" w:rsidRPr="009807FE" w:rsidRDefault="00FC0EF9" w:rsidP="00FC0EF9">
      <w:pPr>
        <w:pStyle w:val="CVAAsubsub"/>
        <w:rPr>
          <w:rFonts w:asciiTheme="minorHAnsi" w:hAnsiTheme="minorHAnsi"/>
        </w:rPr>
      </w:pPr>
      <w:r>
        <w:t>Contact for children in care</w:t>
      </w:r>
    </w:p>
    <w:p w14:paraId="655829CE" w14:textId="77777777" w:rsidR="00E14E3B" w:rsidRPr="00E14E3B" w:rsidRDefault="009807FE" w:rsidP="00C86463">
      <w:pPr>
        <w:pStyle w:val="CVAAnorm"/>
        <w:numPr>
          <w:ilvl w:val="0"/>
          <w:numId w:val="5"/>
        </w:numPr>
        <w:rPr>
          <w:rFonts w:asciiTheme="minorHAnsi" w:hAnsiTheme="minorHAnsi"/>
        </w:rPr>
      </w:pPr>
      <w:r>
        <w:t xml:space="preserve">Despite </w:t>
      </w:r>
      <w:r w:rsidR="00B62C16">
        <w:t xml:space="preserve">expectations of contact for looked after children in the Children Act 1989, </w:t>
      </w:r>
      <w:r w:rsidR="00B65E61">
        <w:t xml:space="preserve">in practice </w:t>
      </w:r>
      <w:r w:rsidR="00C57BE4">
        <w:t>there is a very mixed picture when it comes to the frequency and nature of contact arrangements</w:t>
      </w:r>
      <w:r w:rsidR="00ED19EF">
        <w:t>.</w:t>
      </w:r>
      <w:r w:rsidR="00ED19EF" w:rsidRPr="00ED19EF">
        <w:t xml:space="preserve"> </w:t>
      </w:r>
    </w:p>
    <w:p w14:paraId="08448FBA" w14:textId="6EEB5CD5" w:rsidR="009807FE" w:rsidRPr="00417710" w:rsidRDefault="00ED19EF" w:rsidP="00C86463">
      <w:pPr>
        <w:pStyle w:val="CVAAnorm"/>
        <w:numPr>
          <w:ilvl w:val="0"/>
          <w:numId w:val="5"/>
        </w:numPr>
        <w:rPr>
          <w:rFonts w:asciiTheme="minorHAnsi" w:hAnsiTheme="minorHAnsi"/>
        </w:rPr>
      </w:pPr>
      <w:r>
        <w:t>The most recent study on contact found that many children and young people are unhappy with how often they see their families – for example, n</w:t>
      </w:r>
      <w:r w:rsidRPr="00BB7F16">
        <w:t xml:space="preserve">early a third of children (8-10yrs) and a quarter of young people (11-18yrs) felt they were not seeing their </w:t>
      </w:r>
      <w:r>
        <w:t xml:space="preserve">birth </w:t>
      </w:r>
      <w:r w:rsidRPr="00BB7F16">
        <w:t>mothers enough</w:t>
      </w:r>
      <w:r>
        <w:t xml:space="preserve"> (Coram Voice and the Rees Centre, 2022).</w:t>
      </w:r>
      <w:r w:rsidR="0061293A">
        <w:t xml:space="preserve"> A significant proportion of children felt similarly about their time with birth fathers, </w:t>
      </w:r>
      <w:proofErr w:type="gramStart"/>
      <w:r w:rsidR="0061293A">
        <w:t>brothers</w:t>
      </w:r>
      <w:proofErr w:type="gramEnd"/>
      <w:r w:rsidR="0061293A">
        <w:t xml:space="preserve"> and sisters too</w:t>
      </w:r>
      <w:r w:rsidR="00417710">
        <w:t>.</w:t>
      </w:r>
      <w:r w:rsidR="00A537A7">
        <w:t xml:space="preserve"> (</w:t>
      </w:r>
      <w:r w:rsidR="00A537A7" w:rsidRPr="00A537A7">
        <w:rPr>
          <w:i/>
          <w:iCs/>
        </w:rPr>
        <w:t xml:space="preserve">Source: </w:t>
      </w:r>
      <w:hyperlink r:id="rId20" w:history="1">
        <w:r w:rsidR="00A537A7" w:rsidRPr="00A537A7">
          <w:rPr>
            <w:rStyle w:val="Hyperlink"/>
            <w:i/>
            <w:iCs/>
          </w:rPr>
          <w:t>Coram Voice &amp; the Rees Centre at the University of Oxford, 2022</w:t>
        </w:r>
      </w:hyperlink>
      <w:r w:rsidR="00A537A7">
        <w:t>)</w:t>
      </w:r>
    </w:p>
    <w:p w14:paraId="0D3AC765" w14:textId="292E9E6F" w:rsidR="00FC0EF9" w:rsidRDefault="00FC0EF9" w:rsidP="00FC0EF9">
      <w:pPr>
        <w:pStyle w:val="CVAAnorm"/>
        <w:numPr>
          <w:ilvl w:val="0"/>
          <w:numId w:val="5"/>
        </w:numPr>
      </w:pPr>
      <w:r>
        <w:t xml:space="preserve">The research exposed that differences in children’s circumstances such as the local authority responsible for them, the number of placements they had had, and whether they were in residential care as opposed to foster/kinship care, were associated with different levels of satisfaction with the contact arrangements. Children were also affected by the format of the visit – factors such as the location, venue, timing, level of supervision, and range of available activities. </w:t>
      </w:r>
      <w:r w:rsidR="00A537A7">
        <w:t>(Source: as above)</w:t>
      </w:r>
    </w:p>
    <w:p w14:paraId="427C9D54" w14:textId="77777777" w:rsidR="00416128" w:rsidRDefault="00416128"/>
    <w:sectPr w:rsidR="00416128">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03A5" w14:textId="77777777" w:rsidR="00D06115" w:rsidRDefault="00D06115" w:rsidP="00D06115">
      <w:pPr>
        <w:spacing w:after="0" w:line="240" w:lineRule="auto"/>
      </w:pPr>
      <w:r>
        <w:separator/>
      </w:r>
    </w:p>
  </w:endnote>
  <w:endnote w:type="continuationSeparator" w:id="0">
    <w:p w14:paraId="146DDF80" w14:textId="77777777" w:rsidR="00D06115" w:rsidRDefault="00D06115" w:rsidP="00D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toshi">
    <w:altName w:val="Calibri"/>
    <w:panose1 w:val="00000000000000000000"/>
    <w:charset w:val="00"/>
    <w:family w:val="modern"/>
    <w:notTrueType/>
    <w:pitch w:val="variable"/>
    <w:sig w:usb0="8000004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67CD" w14:textId="77777777" w:rsidR="00D06115" w:rsidRDefault="00D06115" w:rsidP="00D06115">
      <w:pPr>
        <w:spacing w:after="0" w:line="240" w:lineRule="auto"/>
      </w:pPr>
      <w:r>
        <w:separator/>
      </w:r>
    </w:p>
  </w:footnote>
  <w:footnote w:type="continuationSeparator" w:id="0">
    <w:p w14:paraId="0119ED52" w14:textId="77777777" w:rsidR="00D06115" w:rsidRDefault="00D06115" w:rsidP="00D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248E" w14:textId="4B9D5C36" w:rsidR="00F17EC4" w:rsidRDefault="004D6281" w:rsidP="004D6281">
    <w:pPr>
      <w:pStyle w:val="Header"/>
      <w:jc w:val="right"/>
    </w:pPr>
    <w:r>
      <w:rPr>
        <w:noProof/>
      </w:rPr>
      <w:drawing>
        <wp:inline distT="0" distB="0" distL="0" distR="0" wp14:anchorId="3CDEBDC7" wp14:editId="55A81FF7">
          <wp:extent cx="2324100" cy="93498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075" cy="939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3488"/>
    <w:multiLevelType w:val="hybridMultilevel"/>
    <w:tmpl w:val="2B8C2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321F3"/>
    <w:multiLevelType w:val="hybridMultilevel"/>
    <w:tmpl w:val="5268D342"/>
    <w:lvl w:ilvl="0" w:tplc="87B0FE60">
      <w:numFmt w:val="bullet"/>
      <w:lvlText w:val="-"/>
      <w:lvlJc w:val="left"/>
      <w:pPr>
        <w:ind w:left="720" w:hanging="360"/>
      </w:pPr>
      <w:rPr>
        <w:rFonts w:ascii="Satoshi" w:eastAsiaTheme="minorHAnsi" w:hAnsi="Satosh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F2162"/>
    <w:multiLevelType w:val="hybridMultilevel"/>
    <w:tmpl w:val="538A6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06B3C"/>
    <w:multiLevelType w:val="multilevel"/>
    <w:tmpl w:val="4952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8048C"/>
    <w:multiLevelType w:val="hybridMultilevel"/>
    <w:tmpl w:val="1E9A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19701C"/>
    <w:multiLevelType w:val="hybridMultilevel"/>
    <w:tmpl w:val="77244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4C6B9F"/>
    <w:multiLevelType w:val="hybridMultilevel"/>
    <w:tmpl w:val="8236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557555">
    <w:abstractNumId w:val="5"/>
  </w:num>
  <w:num w:numId="2" w16cid:durableId="1103108976">
    <w:abstractNumId w:val="1"/>
  </w:num>
  <w:num w:numId="3" w16cid:durableId="1501041731">
    <w:abstractNumId w:val="0"/>
  </w:num>
  <w:num w:numId="4" w16cid:durableId="8604416">
    <w:abstractNumId w:val="6"/>
  </w:num>
  <w:num w:numId="5" w16cid:durableId="2084907155">
    <w:abstractNumId w:val="2"/>
  </w:num>
  <w:num w:numId="6" w16cid:durableId="906695319">
    <w:abstractNumId w:val="4"/>
  </w:num>
  <w:num w:numId="7" w16cid:durableId="664207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02"/>
    <w:rsid w:val="00002D84"/>
    <w:rsid w:val="000109A7"/>
    <w:rsid w:val="000614A5"/>
    <w:rsid w:val="0007581E"/>
    <w:rsid w:val="00075836"/>
    <w:rsid w:val="0009307E"/>
    <w:rsid w:val="000B19B2"/>
    <w:rsid w:val="000B5B09"/>
    <w:rsid w:val="00117ABD"/>
    <w:rsid w:val="00120DF9"/>
    <w:rsid w:val="00134E66"/>
    <w:rsid w:val="00156D44"/>
    <w:rsid w:val="00197684"/>
    <w:rsid w:val="001B29B8"/>
    <w:rsid w:val="001C0DB6"/>
    <w:rsid w:val="001D231C"/>
    <w:rsid w:val="001E1CEF"/>
    <w:rsid w:val="00200D29"/>
    <w:rsid w:val="0021230D"/>
    <w:rsid w:val="00214BA6"/>
    <w:rsid w:val="0026389D"/>
    <w:rsid w:val="002F448D"/>
    <w:rsid w:val="00316AB6"/>
    <w:rsid w:val="00330E34"/>
    <w:rsid w:val="00331644"/>
    <w:rsid w:val="00363E8F"/>
    <w:rsid w:val="00372ADD"/>
    <w:rsid w:val="003E7F1D"/>
    <w:rsid w:val="003F2721"/>
    <w:rsid w:val="00416128"/>
    <w:rsid w:val="00417710"/>
    <w:rsid w:val="00430AD9"/>
    <w:rsid w:val="004367F6"/>
    <w:rsid w:val="0044150D"/>
    <w:rsid w:val="00477B2A"/>
    <w:rsid w:val="0048418A"/>
    <w:rsid w:val="004B18F8"/>
    <w:rsid w:val="004C4652"/>
    <w:rsid w:val="004D1202"/>
    <w:rsid w:val="004D6281"/>
    <w:rsid w:val="00512DE0"/>
    <w:rsid w:val="00542BFF"/>
    <w:rsid w:val="00596729"/>
    <w:rsid w:val="005A179F"/>
    <w:rsid w:val="005D3767"/>
    <w:rsid w:val="005D74A2"/>
    <w:rsid w:val="005E1F69"/>
    <w:rsid w:val="005E3993"/>
    <w:rsid w:val="00601FB9"/>
    <w:rsid w:val="00602931"/>
    <w:rsid w:val="0061293A"/>
    <w:rsid w:val="00660F84"/>
    <w:rsid w:val="00661183"/>
    <w:rsid w:val="006B7D66"/>
    <w:rsid w:val="006E74A4"/>
    <w:rsid w:val="007066E3"/>
    <w:rsid w:val="007446C6"/>
    <w:rsid w:val="00774654"/>
    <w:rsid w:val="007A455A"/>
    <w:rsid w:val="007A56FE"/>
    <w:rsid w:val="007B06F0"/>
    <w:rsid w:val="007B2A58"/>
    <w:rsid w:val="007C14AD"/>
    <w:rsid w:val="007D65F1"/>
    <w:rsid w:val="008311AD"/>
    <w:rsid w:val="0084537D"/>
    <w:rsid w:val="00853A73"/>
    <w:rsid w:val="00871EE3"/>
    <w:rsid w:val="00890CC3"/>
    <w:rsid w:val="008923C9"/>
    <w:rsid w:val="008A6461"/>
    <w:rsid w:val="008B3FEF"/>
    <w:rsid w:val="008E1F0E"/>
    <w:rsid w:val="009054CC"/>
    <w:rsid w:val="00913689"/>
    <w:rsid w:val="00921D79"/>
    <w:rsid w:val="009536CA"/>
    <w:rsid w:val="009807FE"/>
    <w:rsid w:val="00981DF2"/>
    <w:rsid w:val="00995068"/>
    <w:rsid w:val="009A1331"/>
    <w:rsid w:val="009B7BE9"/>
    <w:rsid w:val="009D36CE"/>
    <w:rsid w:val="009D375A"/>
    <w:rsid w:val="009D75F5"/>
    <w:rsid w:val="00A537A7"/>
    <w:rsid w:val="00A632F4"/>
    <w:rsid w:val="00A6766B"/>
    <w:rsid w:val="00AA6658"/>
    <w:rsid w:val="00AB68CC"/>
    <w:rsid w:val="00AD13AF"/>
    <w:rsid w:val="00AE19FC"/>
    <w:rsid w:val="00AF12C6"/>
    <w:rsid w:val="00B006A2"/>
    <w:rsid w:val="00B05D8A"/>
    <w:rsid w:val="00B26BE8"/>
    <w:rsid w:val="00B27BFA"/>
    <w:rsid w:val="00B30F78"/>
    <w:rsid w:val="00B57B34"/>
    <w:rsid w:val="00B62C16"/>
    <w:rsid w:val="00B65E61"/>
    <w:rsid w:val="00B94F1E"/>
    <w:rsid w:val="00BD2C7F"/>
    <w:rsid w:val="00BF2D3C"/>
    <w:rsid w:val="00C15F1D"/>
    <w:rsid w:val="00C57BE4"/>
    <w:rsid w:val="00C76AE8"/>
    <w:rsid w:val="00C86463"/>
    <w:rsid w:val="00C9030C"/>
    <w:rsid w:val="00C9497B"/>
    <w:rsid w:val="00CE7BF7"/>
    <w:rsid w:val="00CF1E50"/>
    <w:rsid w:val="00D053D9"/>
    <w:rsid w:val="00D06115"/>
    <w:rsid w:val="00D5019F"/>
    <w:rsid w:val="00D672D0"/>
    <w:rsid w:val="00D873BF"/>
    <w:rsid w:val="00DB4835"/>
    <w:rsid w:val="00DB5BB1"/>
    <w:rsid w:val="00DD115F"/>
    <w:rsid w:val="00E145CC"/>
    <w:rsid w:val="00E14E3B"/>
    <w:rsid w:val="00E3749B"/>
    <w:rsid w:val="00E56996"/>
    <w:rsid w:val="00E6275C"/>
    <w:rsid w:val="00E77F62"/>
    <w:rsid w:val="00E808AE"/>
    <w:rsid w:val="00ED19EF"/>
    <w:rsid w:val="00F17EC4"/>
    <w:rsid w:val="00F2199C"/>
    <w:rsid w:val="00F243FE"/>
    <w:rsid w:val="00F60CD2"/>
    <w:rsid w:val="00FC0EF9"/>
    <w:rsid w:val="00FD3FDC"/>
    <w:rsid w:val="00FF1670"/>
    <w:rsid w:val="00FF5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119F"/>
  <w15:chartTrackingRefBased/>
  <w15:docId w15:val="{295747A4-63DA-4DC0-AB69-A77BAE0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83"/>
    <w:rPr>
      <w:rFonts w:ascii="Corbel" w:hAnsi="Corbel"/>
    </w:rPr>
  </w:style>
  <w:style w:type="paragraph" w:styleId="Heading1">
    <w:name w:val="heading 1"/>
    <w:basedOn w:val="Normal"/>
    <w:next w:val="Normal"/>
    <w:link w:val="Heading1Char"/>
    <w:uiPriority w:val="9"/>
    <w:qFormat/>
    <w:rsid w:val="00661183"/>
    <w:pPr>
      <w:keepNext/>
      <w:keepLines/>
      <w:spacing w:before="360" w:after="120"/>
      <w:outlineLvl w:val="0"/>
    </w:pPr>
    <w:rPr>
      <w:rFonts w:ascii="Trebuchet MS" w:eastAsiaTheme="majorEastAsia" w:hAnsi="Trebuchet MS" w:cstheme="majorBidi"/>
      <w:color w:val="F6A03B"/>
      <w:sz w:val="48"/>
      <w:szCs w:val="32"/>
    </w:rPr>
  </w:style>
  <w:style w:type="paragraph" w:styleId="Heading2">
    <w:name w:val="heading 2"/>
    <w:basedOn w:val="Normal"/>
    <w:next w:val="Normal"/>
    <w:link w:val="Heading2Char"/>
    <w:uiPriority w:val="9"/>
    <w:unhideWhenUsed/>
    <w:qFormat/>
    <w:rsid w:val="00661183"/>
    <w:pPr>
      <w:keepNext/>
      <w:keepLines/>
      <w:spacing w:before="160" w:after="120"/>
      <w:outlineLvl w:val="1"/>
    </w:pPr>
    <w:rPr>
      <w:rFonts w:eastAsiaTheme="majorEastAsia" w:cstheme="majorBidi"/>
      <w:b/>
      <w:color w:val="858686"/>
      <w:szCs w:val="26"/>
    </w:rPr>
  </w:style>
  <w:style w:type="paragraph" w:styleId="Heading3">
    <w:name w:val="heading 3"/>
    <w:basedOn w:val="Normal"/>
    <w:next w:val="Normal"/>
    <w:link w:val="Heading3Char"/>
    <w:uiPriority w:val="9"/>
    <w:qFormat/>
    <w:rsid w:val="00661183"/>
    <w:pPr>
      <w:spacing w:line="240" w:lineRule="auto"/>
      <w:outlineLvl w:val="2"/>
    </w:pPr>
    <w:rPr>
      <w:rFonts w:eastAsia="Times New Roman" w:cs="Times New Roman"/>
      <w:bCs/>
      <w:color w:val="858686"/>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183"/>
    <w:rPr>
      <w:rFonts w:ascii="Trebuchet MS" w:eastAsiaTheme="majorEastAsia" w:hAnsi="Trebuchet MS" w:cstheme="majorBidi"/>
      <w:color w:val="F6A03B"/>
      <w:sz w:val="48"/>
      <w:szCs w:val="32"/>
    </w:rPr>
  </w:style>
  <w:style w:type="character" w:customStyle="1" w:styleId="Heading2Char">
    <w:name w:val="Heading 2 Char"/>
    <w:basedOn w:val="DefaultParagraphFont"/>
    <w:link w:val="Heading2"/>
    <w:uiPriority w:val="9"/>
    <w:rsid w:val="00661183"/>
    <w:rPr>
      <w:rFonts w:ascii="Corbel" w:eastAsiaTheme="majorEastAsia" w:hAnsi="Corbel" w:cstheme="majorBidi"/>
      <w:b/>
      <w:color w:val="858686"/>
      <w:szCs w:val="26"/>
    </w:rPr>
  </w:style>
  <w:style w:type="character" w:customStyle="1" w:styleId="Heading3Char">
    <w:name w:val="Heading 3 Char"/>
    <w:basedOn w:val="DefaultParagraphFont"/>
    <w:link w:val="Heading3"/>
    <w:uiPriority w:val="9"/>
    <w:rsid w:val="00661183"/>
    <w:rPr>
      <w:rFonts w:ascii="Corbel" w:eastAsia="Times New Roman" w:hAnsi="Corbel" w:cs="Times New Roman"/>
      <w:bCs/>
      <w:color w:val="858686"/>
      <w:szCs w:val="27"/>
      <w:lang w:eastAsia="en-GB"/>
    </w:rPr>
  </w:style>
  <w:style w:type="paragraph" w:customStyle="1" w:styleId="CVAAheading">
    <w:name w:val="CVAA heading"/>
    <w:basedOn w:val="Heading1"/>
    <w:qFormat/>
    <w:rsid w:val="00B94F1E"/>
    <w:rPr>
      <w:rFonts w:ascii="Satoshi" w:hAnsi="Satoshi"/>
      <w:color w:val="2C2C99"/>
    </w:rPr>
  </w:style>
  <w:style w:type="paragraph" w:customStyle="1" w:styleId="CVAAnorm">
    <w:name w:val="CVAA norm"/>
    <w:basedOn w:val="Normal"/>
    <w:qFormat/>
    <w:rsid w:val="00B94F1E"/>
    <w:rPr>
      <w:rFonts w:ascii="Satoshi" w:hAnsi="Satoshi"/>
    </w:rPr>
  </w:style>
  <w:style w:type="paragraph" w:customStyle="1" w:styleId="CVAAsubhead">
    <w:name w:val="CVAA subhead"/>
    <w:basedOn w:val="Heading2"/>
    <w:qFormat/>
    <w:rsid w:val="00B94F1E"/>
    <w:rPr>
      <w:rFonts w:ascii="Satoshi" w:hAnsi="Satoshi"/>
      <w:color w:val="2C2C99"/>
    </w:rPr>
  </w:style>
  <w:style w:type="paragraph" w:customStyle="1" w:styleId="CVAAsubsub">
    <w:name w:val="CVAA subsub"/>
    <w:basedOn w:val="Heading3"/>
    <w:qFormat/>
    <w:rsid w:val="00B94F1E"/>
    <w:rPr>
      <w:rFonts w:ascii="Satoshi" w:hAnsi="Satoshi"/>
      <w:color w:val="5D57D8"/>
    </w:rPr>
  </w:style>
  <w:style w:type="character" w:styleId="Hyperlink">
    <w:name w:val="Hyperlink"/>
    <w:basedOn w:val="DefaultParagraphFont"/>
    <w:uiPriority w:val="99"/>
    <w:unhideWhenUsed/>
    <w:rsid w:val="009D75F5"/>
    <w:rPr>
      <w:color w:val="0563C1" w:themeColor="hyperlink"/>
      <w:u w:val="single"/>
    </w:rPr>
  </w:style>
  <w:style w:type="character" w:styleId="UnresolvedMention">
    <w:name w:val="Unresolved Mention"/>
    <w:basedOn w:val="DefaultParagraphFont"/>
    <w:uiPriority w:val="99"/>
    <w:semiHidden/>
    <w:unhideWhenUsed/>
    <w:rsid w:val="009D75F5"/>
    <w:rPr>
      <w:color w:val="605E5C"/>
      <w:shd w:val="clear" w:color="auto" w:fill="E1DFDD"/>
    </w:rPr>
  </w:style>
  <w:style w:type="paragraph" w:styleId="FootnoteText">
    <w:name w:val="footnote text"/>
    <w:basedOn w:val="Normal"/>
    <w:link w:val="FootnoteTextChar"/>
    <w:uiPriority w:val="99"/>
    <w:semiHidden/>
    <w:unhideWhenUsed/>
    <w:rsid w:val="00D0611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D06115"/>
    <w:rPr>
      <w:sz w:val="20"/>
      <w:szCs w:val="20"/>
    </w:rPr>
  </w:style>
  <w:style w:type="character" w:styleId="FootnoteReference">
    <w:name w:val="footnote reference"/>
    <w:basedOn w:val="DefaultParagraphFont"/>
    <w:uiPriority w:val="99"/>
    <w:semiHidden/>
    <w:unhideWhenUsed/>
    <w:rsid w:val="00D06115"/>
    <w:rPr>
      <w:vertAlign w:val="superscript"/>
    </w:rPr>
  </w:style>
  <w:style w:type="paragraph" w:styleId="ListParagraph">
    <w:name w:val="List Paragraph"/>
    <w:basedOn w:val="Normal"/>
    <w:uiPriority w:val="34"/>
    <w:qFormat/>
    <w:rsid w:val="00D06115"/>
    <w:pPr>
      <w:ind w:left="720"/>
      <w:contextualSpacing/>
    </w:pPr>
  </w:style>
  <w:style w:type="paragraph" w:styleId="Header">
    <w:name w:val="header"/>
    <w:basedOn w:val="Normal"/>
    <w:link w:val="HeaderChar"/>
    <w:uiPriority w:val="99"/>
    <w:unhideWhenUsed/>
    <w:rsid w:val="00F17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EC4"/>
    <w:rPr>
      <w:rFonts w:ascii="Corbel" w:hAnsi="Corbel"/>
    </w:rPr>
  </w:style>
  <w:style w:type="paragraph" w:styleId="Footer">
    <w:name w:val="footer"/>
    <w:basedOn w:val="Normal"/>
    <w:link w:val="FooterChar"/>
    <w:uiPriority w:val="99"/>
    <w:unhideWhenUsed/>
    <w:rsid w:val="00F17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EC4"/>
    <w:rPr>
      <w:rFonts w:ascii="Corbel" w:hAnsi="Corbel"/>
    </w:rPr>
  </w:style>
  <w:style w:type="character" w:styleId="FollowedHyperlink">
    <w:name w:val="FollowedHyperlink"/>
    <w:basedOn w:val="DefaultParagraphFont"/>
    <w:uiPriority w:val="99"/>
    <w:semiHidden/>
    <w:unhideWhenUsed/>
    <w:rsid w:val="000758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3666">
      <w:bodyDiv w:val="1"/>
      <w:marLeft w:val="0"/>
      <w:marRight w:val="0"/>
      <w:marTop w:val="0"/>
      <w:marBottom w:val="0"/>
      <w:divBdr>
        <w:top w:val="none" w:sz="0" w:space="0" w:color="auto"/>
        <w:left w:val="none" w:sz="0" w:space="0" w:color="auto"/>
        <w:bottom w:val="none" w:sz="0" w:space="0" w:color="auto"/>
        <w:right w:val="none" w:sz="0" w:space="0" w:color="auto"/>
      </w:divBdr>
    </w:div>
    <w:div w:id="341854526">
      <w:bodyDiv w:val="1"/>
      <w:marLeft w:val="0"/>
      <w:marRight w:val="0"/>
      <w:marTop w:val="0"/>
      <w:marBottom w:val="0"/>
      <w:divBdr>
        <w:top w:val="none" w:sz="0" w:space="0" w:color="auto"/>
        <w:left w:val="none" w:sz="0" w:space="0" w:color="auto"/>
        <w:bottom w:val="none" w:sz="0" w:space="0" w:color="auto"/>
        <w:right w:val="none" w:sz="0" w:space="0" w:color="auto"/>
      </w:divBdr>
    </w:div>
    <w:div w:id="611593769">
      <w:bodyDiv w:val="1"/>
      <w:marLeft w:val="0"/>
      <w:marRight w:val="0"/>
      <w:marTop w:val="0"/>
      <w:marBottom w:val="0"/>
      <w:divBdr>
        <w:top w:val="none" w:sz="0" w:space="0" w:color="auto"/>
        <w:left w:val="none" w:sz="0" w:space="0" w:color="auto"/>
        <w:bottom w:val="none" w:sz="0" w:space="0" w:color="auto"/>
        <w:right w:val="none" w:sz="0" w:space="0" w:color="auto"/>
      </w:divBdr>
    </w:div>
    <w:div w:id="648285483">
      <w:bodyDiv w:val="1"/>
      <w:marLeft w:val="0"/>
      <w:marRight w:val="0"/>
      <w:marTop w:val="0"/>
      <w:marBottom w:val="0"/>
      <w:divBdr>
        <w:top w:val="none" w:sz="0" w:space="0" w:color="auto"/>
        <w:left w:val="none" w:sz="0" w:space="0" w:color="auto"/>
        <w:bottom w:val="none" w:sz="0" w:space="0" w:color="auto"/>
        <w:right w:val="none" w:sz="0" w:space="0" w:color="auto"/>
      </w:divBdr>
    </w:div>
    <w:div w:id="993416508">
      <w:bodyDiv w:val="1"/>
      <w:marLeft w:val="0"/>
      <w:marRight w:val="0"/>
      <w:marTop w:val="0"/>
      <w:marBottom w:val="0"/>
      <w:divBdr>
        <w:top w:val="none" w:sz="0" w:space="0" w:color="auto"/>
        <w:left w:val="none" w:sz="0" w:space="0" w:color="auto"/>
        <w:bottom w:val="none" w:sz="0" w:space="0" w:color="auto"/>
        <w:right w:val="none" w:sz="0" w:space="0" w:color="auto"/>
      </w:divBdr>
    </w:div>
    <w:div w:id="18418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childrens-social-work-statistics-scotland-2020-21/pages/4/" TargetMode="External"/><Relationship Id="rId18" Type="http://schemas.openxmlformats.org/officeDocument/2006/relationships/hyperlink" Target="https://www.adoptionuk.org/Handlers/Download.ashx?IDMF=ebb3a36d-cc0d-45dd-aca9-7dd1d5dbbd2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oram-i.org.uk/resource/asglb-q1-2022-23-headline-measures/" TargetMode="External"/><Relationship Id="rId17" Type="http://schemas.openxmlformats.org/officeDocument/2006/relationships/hyperlink" Target="https://explore-education-statistics.service.gov.uk/data-tables/permalink/0f67d585-ee0e-43c8-8dbd-08dacbbccc68"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coramvoice.org.uk/wp-content/uploads/2022/05/2309-Staying-connected-Research-Report-05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wales/children-looked-after-local-authorities-april-2021-march-2022-html" TargetMode="External"/><Relationship Id="rId5" Type="http://schemas.openxmlformats.org/officeDocument/2006/relationships/styles" Target="styles.xml"/><Relationship Id="rId15" Type="http://schemas.openxmlformats.org/officeDocument/2006/relationships/hyperlink" Target="https://coram-i.org.uk/resource/asglb-q4-2021-22-headline-measures/" TargetMode="External"/><Relationship Id="rId23" Type="http://schemas.openxmlformats.org/officeDocument/2006/relationships/theme" Target="theme/theme1.xml"/><Relationship Id="rId10" Type="http://schemas.openxmlformats.org/officeDocument/2006/relationships/hyperlink" Target="https://explore-education-statistics.service.gov.uk/find-statistics/children-looked-after-in-england-including-adoptions/2022" TargetMode="External"/><Relationship Id="rId19" Type="http://schemas.openxmlformats.org/officeDocument/2006/relationships/hyperlink" Target="https://www.nuffieldfjo.org.uk/wp-content/uploads/2021/05/NuffieldFJO-Special-Guardianship-190731-WEB-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ram-i.org.uk/resource/asglb-q4-2021-22-headline-measur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e%20Talbot\Documents\Custom%20Office%20Templates\CVAA%20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8" ma:contentTypeDescription="Create a new document." ma:contentTypeScope="" ma:versionID="8e8d84e038317a8615f199ad9cec7a64">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05ece8d756a750d170fd8009715c3d27"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dda83e0-1433-4425-b600-da5087c88ed7}" ma:internalName="TaxCatchAll" ma:showField="CatchAllData" ma:web="e195cd94-f4ac-4560-88dd-9af2fea253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b1703f9-90cc-4aed-9ad3-2c0464e927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95cd94-f4ac-4560-88dd-9af2fea25334" xsi:nil="true"/>
    <lcf76f155ced4ddcb4097134ff3c332f xmlns="e84b024a-3877-4b46-99ef-67fef393a9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2DFFA-5D4A-4F97-80EB-0CCA3C52D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35695-D6FC-4312-977C-06A6F411CF6B}">
  <ds:schemaRefs>
    <ds:schemaRef ds:uri="http://schemas.microsoft.com/office/2006/metadata/properties"/>
    <ds:schemaRef ds:uri="http://schemas.microsoft.com/office/infopath/2007/PartnerControls"/>
    <ds:schemaRef ds:uri="e195cd94-f4ac-4560-88dd-9af2fea25334"/>
    <ds:schemaRef ds:uri="e84b024a-3877-4b46-99ef-67fef393a9da"/>
  </ds:schemaRefs>
</ds:datastoreItem>
</file>

<file path=customXml/itemProps3.xml><?xml version="1.0" encoding="utf-8"?>
<ds:datastoreItem xmlns:ds="http://schemas.openxmlformats.org/officeDocument/2006/customXml" ds:itemID="{7A8B9AFE-CFB4-4041-8D5C-E32D10287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CVAA style template</Template>
  <TotalTime>129</TotalTime>
  <Pages>3</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Talbot</dc:creator>
  <cp:keywords/>
  <dc:description/>
  <cp:lastModifiedBy>Alice Talbot</cp:lastModifiedBy>
  <cp:revision>132</cp:revision>
  <dcterms:created xsi:type="dcterms:W3CDTF">2022-12-05T11:52:00Z</dcterms:created>
  <dcterms:modified xsi:type="dcterms:W3CDTF">2022-12-06T11:10:00Z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y fmtid="{D5CDD505-2E9C-101B-9397-08002B2CF9AE}" pid="3" name="MediaServiceImageTags">
    <vt:lpwstr/>
  </property>
</Properties>
</file>